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b w:val="1"/>
          <w:bCs w:val="1"/>
          <w:sz w:val="21"/>
          <w:szCs w:val="21"/>
          <w:highlight w:val="white"/>
        </w:rPr>
      </w:pPr>
      <w:r w:rsidDel="00000000" w:rsidR="00000000" w:rsidRPr="00000000">
        <w:rPr>
          <w:rFonts w:ascii="Open Sans" w:cs="Open Sans" w:eastAsia="Open Sans" w:hAnsi="Open Sans"/>
          <w:b w:val="1"/>
          <w:bCs w:val="1"/>
          <w:sz w:val="21"/>
          <w:szCs w:val="21"/>
          <w:highlight w:val="white"/>
          <w:rtl w:val="0"/>
        </w:rPr>
        <w:t xml:space="preserve">Admin Link </w:t>
      </w:r>
    </w:p>
    <w:p w:rsidR="00000000" w:rsidDel="00000000" w:rsidP="00000000" w:rsidRDefault="00000000" w:rsidRPr="00000000" w14:paraId="00000002">
      <w:pPr>
        <w:rPr>
          <w:rFonts w:ascii="Open Sans" w:cs="Open Sans" w:eastAsia="Open Sans" w:hAnsi="Open Sans"/>
          <w:b w:val="1"/>
          <w:bCs w:val="1"/>
          <w:sz w:val="21"/>
          <w:szCs w:val="21"/>
          <w:highlight w:val="white"/>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bCs w:val="1"/>
          <w:sz w:val="21"/>
          <w:szCs w:val="21"/>
          <w:highlight w:val="white"/>
        </w:rPr>
      </w:pPr>
      <w:hyperlink r:id="rId6">
        <w:r w:rsidDel="00000000" w:rsidR="00000000" w:rsidRPr="00000000">
          <w:rPr>
            <w:rFonts w:ascii="Open Sans" w:cs="Open Sans" w:eastAsia="Open Sans" w:hAnsi="Open Sans"/>
            <w:b w:val="1"/>
            <w:bCs w:val="1"/>
            <w:color w:val="1155cc"/>
            <w:sz w:val="21"/>
            <w:szCs w:val="21"/>
            <w:highlight w:val="white"/>
            <w:u w:val="single"/>
            <w:rtl w:val="0"/>
          </w:rPr>
          <w:t xml:space="preserve">https://staging.loetb.ie/wp-admin</w:t>
        </w:r>
      </w:hyperlink>
      <w:r w:rsidDel="00000000" w:rsidR="00000000" w:rsidRPr="00000000">
        <w:rPr>
          <w:rFonts w:ascii="Open Sans" w:cs="Open Sans" w:eastAsia="Open Sans" w:hAnsi="Open Sans"/>
          <w:b w:val="1"/>
          <w:bCs w:val="1"/>
          <w:sz w:val="21"/>
          <w:szCs w:val="21"/>
          <w:highlight w:val="white"/>
          <w:rtl w:val="0"/>
        </w:rPr>
        <w:br w:type="textWrapping"/>
        <w:br w:type="textWrapping"/>
      </w:r>
      <w:hyperlink r:id="rId7">
        <w:r w:rsidDel="00000000" w:rsidR="00000000" w:rsidRPr="00000000">
          <w:rPr>
            <w:rFonts w:ascii="Open Sans" w:cs="Open Sans" w:eastAsia="Open Sans" w:hAnsi="Open Sans"/>
            <w:b w:val="1"/>
            <w:bCs w:val="1"/>
            <w:color w:val="1155cc"/>
            <w:sz w:val="21"/>
            <w:szCs w:val="21"/>
            <w:highlight w:val="white"/>
            <w:u w:val="single"/>
            <w:rtl w:val="0"/>
          </w:rPr>
          <w:t xml:space="preserve">https://tinypng.com/</w:t>
        </w:r>
      </w:hyperlink>
      <w:r w:rsidDel="00000000" w:rsidR="00000000" w:rsidRPr="00000000">
        <w:rPr>
          <w:rtl w:val="0"/>
        </w:rPr>
      </w:r>
    </w:p>
    <w:p w:rsidR="00000000" w:rsidDel="00000000" w:rsidP="00000000" w:rsidRDefault="00000000" w:rsidRPr="00000000" w14:paraId="00000004">
      <w:pPr>
        <w:rPr>
          <w:rFonts w:ascii="Open Sans" w:cs="Open Sans" w:eastAsia="Open Sans" w:hAnsi="Open Sans"/>
          <w:b w:val="1"/>
          <w:bCs w:val="1"/>
          <w:sz w:val="21"/>
          <w:szCs w:val="21"/>
          <w:highlight w:val="white"/>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b w:val="1"/>
          <w:bCs w:val="1"/>
          <w:sz w:val="21"/>
          <w:szCs w:val="21"/>
          <w:highlight w:val="white"/>
        </w:rPr>
      </w:pPr>
      <w:r w:rsidDel="00000000" w:rsidR="00000000" w:rsidRPr="00000000">
        <w:rPr>
          <w:rFonts w:ascii="Open Sans" w:cs="Open Sans" w:eastAsia="Open Sans" w:hAnsi="Open Sans"/>
          <w:b w:val="1"/>
          <w:bCs w:val="1"/>
          <w:sz w:val="21"/>
          <w:szCs w:val="21"/>
          <w:highlight w:val="white"/>
          <w:rtl w:val="0"/>
        </w:rPr>
        <w:t xml:space="preserve">Alt description</w:t>
      </w:r>
    </w:p>
    <w:p w:rsidR="00000000" w:rsidDel="00000000" w:rsidP="00000000" w:rsidRDefault="00000000" w:rsidRPr="00000000" w14:paraId="00000006">
      <w:pPr>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sz w:val="21"/>
          <w:szCs w:val="21"/>
          <w:highlight w:val="white"/>
        </w:rPr>
      </w:pPr>
      <w:r w:rsidDel="00000000" w:rsidR="00000000" w:rsidRPr="00000000">
        <w:rPr>
          <w:rFonts w:ascii="Open Sans" w:cs="Open Sans" w:eastAsia="Open Sans" w:hAnsi="Open Sans"/>
          <w:sz w:val="21"/>
          <w:szCs w:val="21"/>
          <w:highlight w:val="white"/>
          <w:rtl w:val="0"/>
        </w:rPr>
        <w:t xml:space="preserve">Minister for Justice Helen McEntee; farmer, agri solicitor and tax consultant Aisling Meehan; and LOETB CEO Joe Cunningham.</w:t>
      </w:r>
    </w:p>
    <w:p w:rsidR="00000000" w:rsidDel="00000000" w:rsidP="00000000" w:rsidRDefault="00000000" w:rsidRPr="00000000" w14:paraId="00000008">
      <w:pPr>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bCs w:val="1"/>
          <w:sz w:val="21"/>
          <w:szCs w:val="21"/>
          <w:highlight w:val="white"/>
        </w:rPr>
      </w:pPr>
      <w:r w:rsidDel="00000000" w:rsidR="00000000" w:rsidRPr="00000000">
        <w:rPr>
          <w:rFonts w:ascii="Open Sans" w:cs="Open Sans" w:eastAsia="Open Sans" w:hAnsi="Open Sans"/>
          <w:b w:val="1"/>
          <w:bCs w:val="1"/>
          <w:sz w:val="21"/>
          <w:szCs w:val="21"/>
          <w:highlight w:val="white"/>
          <w:rtl w:val="0"/>
        </w:rPr>
        <w:t xml:space="preserve">Post</w:t>
      </w:r>
    </w:p>
    <w:p w:rsidR="00000000" w:rsidDel="00000000" w:rsidP="00000000" w:rsidRDefault="00000000" w:rsidRPr="00000000" w14:paraId="0000000A">
      <w:pPr>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0B">
      <w:pPr>
        <w:pStyle w:val="Title"/>
        <w:rPr/>
      </w:pPr>
      <w:bookmarkStart w:colFirst="0" w:colLast="0" w:name="_rr04rl9dfqhl" w:id="0"/>
      <w:bookmarkEnd w:id="0"/>
      <w:r w:rsidDel="00000000" w:rsidR="00000000" w:rsidRPr="00000000">
        <w:rPr>
          <w:rtl w:val="0"/>
        </w:rPr>
        <w:t xml:space="preserve">LOETB launches Family Farm Programme at National Ploughing Championships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Laois and Offaly Education and Training Board (LOETB) has announced the launch of the Family Farm Programme at this year’s National Ploughing Championships in Ratheniska, Laois.</w:t>
      </w:r>
    </w:p>
    <w:p w:rsidR="00000000" w:rsidDel="00000000" w:rsidP="00000000" w:rsidRDefault="00000000" w:rsidRPr="00000000" w14:paraId="0000000E">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The programme is designed to equip farm families with the education, resources, and support needed to succeed in today's rapidly evolving agricultural landscape.</w:t>
      </w:r>
    </w:p>
    <w:p w:rsidR="00000000" w:rsidDel="00000000" w:rsidP="00000000" w:rsidRDefault="00000000" w:rsidRPr="00000000" w14:paraId="0000000F">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Through a combination of education, expert advice, and engagement with industry professionals, LOETB’s Family Farm Programme takes a family-centred approach to addressing the diverse needs of farming families.</w:t>
      </w:r>
    </w:p>
    <w:p w:rsidR="00000000" w:rsidDel="00000000" w:rsidP="00000000" w:rsidRDefault="00000000" w:rsidRPr="00000000" w14:paraId="00000010">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The programme offers personalised agricultural guidance, access to essential information, and extension services for the entire family, regardless of structure.</w:t>
      </w:r>
    </w:p>
    <w:p w:rsidR="00000000" w:rsidDel="00000000" w:rsidP="00000000" w:rsidRDefault="00000000" w:rsidRPr="00000000" w14:paraId="00000011">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LOETB Chief Executive Joe Cunningham stated, “The Family Farm Programme represents a key part of our commitment to supporting the communities we serve.</w:t>
      </w:r>
    </w:p>
    <w:p w:rsidR="00000000" w:rsidDel="00000000" w:rsidP="00000000" w:rsidRDefault="00000000" w:rsidRPr="00000000" w14:paraId="00000012">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“Family farms play a crucial role in Ireland's agricultural landscape, particularly in counties like Laois and Offaly, where farming has deep-rooted cultural and economic significance.</w:t>
      </w:r>
    </w:p>
    <w:p w:rsidR="00000000" w:rsidDel="00000000" w:rsidP="00000000" w:rsidRDefault="00000000" w:rsidRPr="00000000" w14:paraId="00000013">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“These farms form the backbone of rural Ireland, and through this programme, we aim to provide families with the skills, knowledge, and resources they need to thrive in today’s constantly advancing agricultural sector.</w:t>
      </w:r>
    </w:p>
    <w:p w:rsidR="00000000" w:rsidDel="00000000" w:rsidP="00000000" w:rsidRDefault="00000000" w:rsidRPr="00000000" w14:paraId="00000014">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“By equipping farm families with expert guidance on sustainability, financial planning, succession, and technology adoption, we are working to secure their prosperity and the future of Irish farming and its communities.”</w:t>
      </w:r>
    </w:p>
    <w:p w:rsidR="00000000" w:rsidDel="00000000" w:rsidP="00000000" w:rsidRDefault="00000000" w:rsidRPr="00000000" w14:paraId="00000015">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LOETB recognises the unique challenges faced by farm families in the region and is committed to providing them with the knowledge and skills required to enhance their livelihoods, ensure longevity, and contribute to sustainable agricultural development.</w:t>
      </w:r>
    </w:p>
    <w:p w:rsidR="00000000" w:rsidDel="00000000" w:rsidP="00000000" w:rsidRDefault="00000000" w:rsidRPr="00000000" w14:paraId="00000016">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The Family Farm Programme has the support of several key stakeholders, including Mountbellew Agricultural College, IFAC, Aisling Meehan Agricultural Solicitors, FBD, Embrace FARM, and Teagasc, with additional partners to be confirmed.</w:t>
      </w:r>
    </w:p>
    <w:p w:rsidR="00000000" w:rsidDel="00000000" w:rsidP="00000000" w:rsidRDefault="00000000" w:rsidRPr="00000000" w14:paraId="00000017">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Farmer, agri solicitor and tax consultant Aisling Meehan commented; “Succession planning is hard for farm families and it can be difficult to know when or even how to start.</w:t>
      </w:r>
    </w:p>
    <w:p w:rsidR="00000000" w:rsidDel="00000000" w:rsidP="00000000" w:rsidRDefault="00000000" w:rsidRPr="00000000" w14:paraId="00000018">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“This programme offers invaluable support by guiding farm families through the legal, tax and practical issues that often arise.</w:t>
      </w:r>
    </w:p>
    <w:p w:rsidR="00000000" w:rsidDel="00000000" w:rsidP="00000000" w:rsidRDefault="00000000" w:rsidRPr="00000000" w14:paraId="00000019">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“A smooth transition between the generations is vital for the sustainability of family farms regardless of size or structure.</w:t>
      </w:r>
    </w:p>
    <w:p w:rsidR="00000000" w:rsidDel="00000000" w:rsidP="00000000" w:rsidRDefault="00000000" w:rsidRPr="00000000" w14:paraId="0000001A">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“With LOETB’s backing, we can deliver this essential guidance to the families on the programme without the financial burden, securing their farms' futures and supporting their long-term sustainability”.</w:t>
      </w:r>
    </w:p>
    <w:p w:rsidR="00000000" w:rsidDel="00000000" w:rsidP="00000000" w:rsidRDefault="00000000" w:rsidRPr="00000000" w14:paraId="0000001B">
      <w:pPr>
        <w:shd w:fill="ffffff" w:val="clear"/>
        <w:spacing w:after="420" w:lineRule="auto"/>
        <w:rPr>
          <w:rFonts w:ascii="Times New Roman" w:cs="Times New Roman" w:eastAsia="Times New Roman" w:hAnsi="Times New Roman"/>
          <w:color w:val="191919"/>
        </w:rPr>
      </w:pPr>
      <w:r w:rsidDel="00000000" w:rsidR="00000000" w:rsidRPr="00000000">
        <w:rPr>
          <w:rFonts w:ascii="Times New Roman" w:cs="Times New Roman" w:eastAsia="Times New Roman" w:hAnsi="Times New Roman"/>
          <w:color w:val="191919"/>
          <w:rtl w:val="0"/>
        </w:rPr>
        <w:t xml:space="preserve">By empowering farm families to adapt and thrive in an ever-changing environment, this programme aims to play a critical role in sustaining future generations of farmers and advancing Ireland's commitment to sustainable agriculture.</w:t>
      </w:r>
    </w:p>
    <w:p w:rsidR="00000000" w:rsidDel="00000000" w:rsidP="00000000" w:rsidRDefault="00000000" w:rsidRPr="00000000" w14:paraId="0000001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aging.loetb.ie/wp-admin" TargetMode="External"/><Relationship Id="rId7" Type="http://schemas.openxmlformats.org/officeDocument/2006/relationships/hyperlink" Target="https://tinyp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